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B62F1">
      <w:pPr>
        <w:widowControl w:val="0"/>
        <w:spacing w:after="156" w:line="360" w:lineRule="exact"/>
        <w:ind w:firstLine="0" w:firstLineChars="0"/>
        <w:rPr>
          <w:rFonts w:hint="eastAsia" w:ascii="仿宋" w:hAnsi="仿宋" w:eastAsia="仿宋" w:cs="仿宋"/>
          <w:b w:val="0"/>
          <w:bCs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z w:val="30"/>
          <w:szCs w:val="30"/>
        </w:rPr>
        <w:t>附件</w:t>
      </w:r>
      <w:r>
        <w:rPr>
          <w:rFonts w:hint="eastAsia" w:ascii="仿宋" w:hAnsi="仿宋" w:eastAsia="仿宋" w:cs="仿宋"/>
          <w:b w:val="0"/>
          <w:bCs/>
          <w:color w:val="000000"/>
          <w:sz w:val="30"/>
          <w:szCs w:val="30"/>
          <w:lang w:val="en-US" w:eastAsia="zh-CN"/>
        </w:rPr>
        <w:t>5</w:t>
      </w:r>
    </w:p>
    <w:p w14:paraId="196D8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7" w:after="157" w:line="360" w:lineRule="exact"/>
        <w:ind w:left="0" w:leftChars="0" w:right="0" w:rightChars="0" w:firstLine="720" w:firstLineChars="0"/>
        <w:jc w:val="center"/>
        <w:outlineLvl w:val="9"/>
        <w:rPr>
          <w:rFonts w:ascii="华文中宋" w:hAnsi="华文中宋" w:eastAsia="华文中宋"/>
          <w:color w:val="00000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中国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eastAsia="zh-CN"/>
        </w:rPr>
        <w:t>地市报优秀新闻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作品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  <w:lang w:val="en-US" w:eastAsia="zh-CN"/>
        </w:rPr>
        <w:t>申报</w:t>
      </w:r>
      <w:r>
        <w:rPr>
          <w:rFonts w:hint="eastAsia" w:ascii="方正小标宋_GBK" w:hAnsi="方正小标宋_GBK" w:eastAsia="方正小标宋_GBK" w:cs="方正小标宋_GBK"/>
          <w:color w:val="000000"/>
          <w:sz w:val="36"/>
          <w:szCs w:val="36"/>
        </w:rPr>
        <w:t>表</w:t>
      </w:r>
    </w:p>
    <w:tbl>
      <w:tblPr>
        <w:tblStyle w:val="3"/>
        <w:tblW w:w="0" w:type="auto"/>
        <w:tblInd w:w="-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4"/>
        <w:gridCol w:w="1133"/>
        <w:gridCol w:w="1844"/>
        <w:gridCol w:w="425"/>
        <w:gridCol w:w="487"/>
        <w:gridCol w:w="506"/>
        <w:gridCol w:w="826"/>
        <w:gridCol w:w="733"/>
        <w:gridCol w:w="1100"/>
        <w:gridCol w:w="1441"/>
      </w:tblGrid>
      <w:tr w14:paraId="4A6E8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exact"/>
        </w:trPr>
        <w:tc>
          <w:tcPr>
            <w:tcW w:w="1134" w:type="dxa"/>
            <w:vAlign w:val="center"/>
          </w:tcPr>
          <w:p w14:paraId="6C5C3E66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作品</w:t>
            </w:r>
          </w:p>
          <w:p w14:paraId="5D77E54A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标题</w:t>
            </w:r>
          </w:p>
        </w:tc>
        <w:tc>
          <w:tcPr>
            <w:tcW w:w="4679" w:type="dxa"/>
            <w:gridSpan w:val="6"/>
            <w:vAlign w:val="center"/>
          </w:tcPr>
          <w:p w14:paraId="0A9D9815">
            <w:pPr>
              <w:snapToGrid/>
              <w:spacing w:line="240" w:lineRule="auto"/>
            </w:pP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检察建议化解三十余年难题</w:t>
            </w:r>
          </w:p>
          <w:p w14:paraId="1B9F7021">
            <w:pPr>
              <w:snapToGrid/>
              <w:spacing w:line="240" w:lineRule="auto"/>
            </w:pPr>
            <w:r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  <w:t>这个烈士陵园办到产权证了！</w:t>
            </w:r>
          </w:p>
          <w:p w14:paraId="426F93A4">
            <w:pPr>
              <w:spacing w:line="24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15"/>
                <w:lang w:val="en-US" w:eastAsia="zh-CN" w:bidi="ar-SA"/>
              </w:rPr>
            </w:pPr>
          </w:p>
        </w:tc>
        <w:tc>
          <w:tcPr>
            <w:tcW w:w="826" w:type="dxa"/>
            <w:vAlign w:val="center"/>
          </w:tcPr>
          <w:p w14:paraId="6DD14512">
            <w:pPr>
              <w:spacing w:line="38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申报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项目</w:t>
            </w:r>
          </w:p>
        </w:tc>
        <w:tc>
          <w:tcPr>
            <w:tcW w:w="3274" w:type="dxa"/>
            <w:gridSpan w:val="3"/>
            <w:vAlign w:val="center"/>
          </w:tcPr>
          <w:p w14:paraId="07BE4BF1">
            <w:pPr>
              <w:rPr>
                <w:rFonts w:ascii="仿宋_GB2312"/>
                <w:color w:val="000000"/>
                <w:sz w:val="28"/>
              </w:rPr>
            </w:pPr>
            <w: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  <w:t>消息（报纸）</w:t>
            </w:r>
          </w:p>
        </w:tc>
      </w:tr>
      <w:tr w14:paraId="183C9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1134" w:type="dxa"/>
            <w:vMerge w:val="restart"/>
            <w:vAlign w:val="center"/>
          </w:tcPr>
          <w:p w14:paraId="2A80D356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字数</w:t>
            </w:r>
          </w:p>
          <w:p w14:paraId="6EA01D4C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时长</w:t>
            </w:r>
          </w:p>
        </w:tc>
        <w:tc>
          <w:tcPr>
            <w:tcW w:w="4679" w:type="dxa"/>
            <w:gridSpan w:val="6"/>
            <w:vMerge w:val="restart"/>
            <w:vAlign w:val="center"/>
          </w:tcPr>
          <w:p w14:paraId="5D4A2B89">
            <w:pPr>
              <w:snapToGrid/>
              <w:spacing w:line="240" w:lineRule="auto"/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921</w:t>
            </w: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val="en-US" w:eastAsia="zh-CN"/>
              </w:rPr>
              <w:t>字</w:t>
            </w:r>
          </w:p>
        </w:tc>
        <w:tc>
          <w:tcPr>
            <w:tcW w:w="826" w:type="dxa"/>
            <w:vAlign w:val="center"/>
          </w:tcPr>
          <w:p w14:paraId="4FA01E1C">
            <w:pPr>
              <w:spacing w:line="38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体裁</w:t>
            </w:r>
          </w:p>
        </w:tc>
        <w:tc>
          <w:tcPr>
            <w:tcW w:w="3274" w:type="dxa"/>
            <w:gridSpan w:val="3"/>
            <w:vAlign w:val="center"/>
          </w:tcPr>
          <w:p w14:paraId="6E86DBF5">
            <w:pP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</w:pPr>
          </w:p>
        </w:tc>
      </w:tr>
      <w:tr w14:paraId="3EA93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34" w:type="dxa"/>
            <w:vMerge w:val="continue"/>
            <w:tcBorders>
              <w:bottom w:val="single" w:color="auto" w:sz="4" w:space="0"/>
            </w:tcBorders>
            <w:vAlign w:val="center"/>
          </w:tcPr>
          <w:p w14:paraId="516447C5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4679" w:type="dxa"/>
            <w:gridSpan w:val="6"/>
            <w:vMerge w:val="continue"/>
            <w:tcBorders>
              <w:bottom w:val="single" w:color="auto" w:sz="4" w:space="0"/>
            </w:tcBorders>
            <w:vAlign w:val="center"/>
          </w:tcPr>
          <w:p w14:paraId="5AFF3BD1">
            <w:pPr>
              <w:snapToGrid/>
              <w:spacing w:line="240" w:lineRule="auto"/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</w:pPr>
          </w:p>
        </w:tc>
        <w:tc>
          <w:tcPr>
            <w:tcW w:w="826" w:type="dxa"/>
            <w:tcBorders>
              <w:bottom w:val="single" w:color="auto" w:sz="4" w:space="0"/>
            </w:tcBorders>
            <w:vAlign w:val="center"/>
          </w:tcPr>
          <w:p w14:paraId="776A936D">
            <w:pPr>
              <w:spacing w:line="38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语种</w:t>
            </w:r>
          </w:p>
        </w:tc>
        <w:tc>
          <w:tcPr>
            <w:tcW w:w="3274" w:type="dxa"/>
            <w:gridSpan w:val="3"/>
            <w:tcBorders>
              <w:bottom w:val="single" w:color="auto" w:sz="4" w:space="0"/>
            </w:tcBorders>
            <w:vAlign w:val="center"/>
          </w:tcPr>
          <w:p w14:paraId="24FCE0DA">
            <w:pP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</w:pPr>
          </w:p>
        </w:tc>
      </w:tr>
      <w:tr w14:paraId="3CDEAD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A4C8FF0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pacing w:val="-1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12"/>
                <w:sz w:val="28"/>
              </w:rPr>
              <w:t>作者</w:t>
            </w:r>
          </w:p>
          <w:p w14:paraId="41B90648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12"/>
                <w:sz w:val="16"/>
                <w:szCs w:val="16"/>
              </w:rPr>
              <w:t>（主创人员）</w:t>
            </w:r>
          </w:p>
        </w:tc>
        <w:tc>
          <w:tcPr>
            <w:tcW w:w="4679" w:type="dxa"/>
            <w:gridSpan w:val="6"/>
            <w:tcBorders>
              <w:bottom w:val="single" w:color="auto" w:sz="4" w:space="0"/>
            </w:tcBorders>
            <w:vAlign w:val="center"/>
          </w:tcPr>
          <w:p w14:paraId="600C0B1D">
            <w:pPr>
              <w:snapToGrid/>
              <w:spacing w:line="240" w:lineRule="auto"/>
              <w:rPr>
                <w:rFonts w:ascii="仿宋" w:hAnsi="仿宋" w:eastAsia="仿宋" w:cs="仿宋"/>
                <w:i w:val="0"/>
                <w:strike w:val="0"/>
                <w:spacing w:val="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</w:rPr>
              <w:t>王佳</w:t>
            </w:r>
          </w:p>
        </w:tc>
        <w:tc>
          <w:tcPr>
            <w:tcW w:w="826" w:type="dxa"/>
            <w:tcBorders>
              <w:bottom w:val="single" w:color="auto" w:sz="4" w:space="0"/>
            </w:tcBorders>
            <w:vAlign w:val="center"/>
          </w:tcPr>
          <w:p w14:paraId="5B465458">
            <w:pPr>
              <w:spacing w:line="38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编辑</w:t>
            </w:r>
          </w:p>
        </w:tc>
        <w:tc>
          <w:tcPr>
            <w:tcW w:w="3274" w:type="dxa"/>
            <w:gridSpan w:val="3"/>
            <w:tcBorders>
              <w:bottom w:val="single" w:color="auto" w:sz="4" w:space="0"/>
            </w:tcBorders>
            <w:vAlign w:val="center"/>
          </w:tcPr>
          <w:p w14:paraId="4C38D92C">
            <w:pP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  <w:t>朱琰  吴琼</w:t>
            </w:r>
          </w:p>
        </w:tc>
      </w:tr>
      <w:tr w14:paraId="6CE3BC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34" w:type="dxa"/>
            <w:vAlign w:val="center"/>
          </w:tcPr>
          <w:p w14:paraId="71EF5FF2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原创</w:t>
            </w:r>
          </w:p>
          <w:p w14:paraId="711B8065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单位</w:t>
            </w:r>
          </w:p>
        </w:tc>
        <w:tc>
          <w:tcPr>
            <w:tcW w:w="3686" w:type="dxa"/>
            <w:gridSpan w:val="4"/>
            <w:vAlign w:val="center"/>
          </w:tcPr>
          <w:p w14:paraId="12FAF9FF">
            <w:pPr>
              <w:snapToGrid/>
              <w:spacing w:line="240" w:lineRule="auto"/>
              <w:rPr>
                <w:rFonts w:hint="default" w:ascii="仿宋_GB2312" w:hAnsi="仿宋" w:eastAsia="等线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val="en-US" w:eastAsia="zh-CN"/>
              </w:rPr>
              <w:t>无锡日报报业集团</w:t>
            </w:r>
          </w:p>
        </w:tc>
        <w:tc>
          <w:tcPr>
            <w:tcW w:w="1819" w:type="dxa"/>
            <w:gridSpan w:val="3"/>
            <w:vAlign w:val="center"/>
          </w:tcPr>
          <w:p w14:paraId="7D08AE46">
            <w:pPr>
              <w:spacing w:line="260" w:lineRule="exact"/>
              <w:rPr>
                <w:rFonts w:ascii="华文中宋" w:hAnsi="华文中宋" w:eastAsia="华文中宋"/>
                <w:color w:val="000000"/>
                <w:sz w:val="24"/>
                <w:szCs w:val="36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36"/>
              </w:rPr>
              <w:t>发布端/账号/</w:t>
            </w:r>
          </w:p>
          <w:p w14:paraId="6E0B4833">
            <w:pPr>
              <w:spacing w:line="260" w:lineRule="exact"/>
              <w:rPr>
                <w:rFonts w:ascii="仿宋_GB2312" w:hAnsi="仿宋"/>
                <w:color w:val="FF0000"/>
                <w:sz w:val="28"/>
                <w:szCs w:val="40"/>
                <w:highlight w:val="green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36"/>
              </w:rPr>
              <w:t>媒体名称</w:t>
            </w:r>
          </w:p>
        </w:tc>
        <w:tc>
          <w:tcPr>
            <w:tcW w:w="3274" w:type="dxa"/>
            <w:gridSpan w:val="3"/>
            <w:vAlign w:val="center"/>
          </w:tcPr>
          <w:p w14:paraId="63DA3F3F">
            <w:pPr>
              <w:rPr>
                <w:rFonts w:hint="default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  <w:t>江南晚报</w:t>
            </w:r>
          </w:p>
        </w:tc>
      </w:tr>
      <w:tr w14:paraId="79708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exact"/>
        </w:trPr>
        <w:tc>
          <w:tcPr>
            <w:tcW w:w="1418" w:type="dxa"/>
            <w:gridSpan w:val="2"/>
            <w:vAlign w:val="center"/>
          </w:tcPr>
          <w:p w14:paraId="61460ACD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刊播版面</w:t>
            </w:r>
          </w:p>
          <w:p w14:paraId="69E8EB69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12"/>
                <w:sz w:val="24"/>
                <w:szCs w:val="21"/>
              </w:rPr>
              <w:t>(</w:t>
            </w:r>
            <w:r>
              <w:rPr>
                <w:rFonts w:hint="eastAsia" w:ascii="华文中宋" w:hAnsi="华文中宋" w:eastAsia="华文中宋"/>
                <w:color w:val="000000"/>
                <w:spacing w:val="-12"/>
                <w:sz w:val="22"/>
                <w:szCs w:val="21"/>
              </w:rPr>
              <w:t>名称和版次)</w:t>
            </w:r>
          </w:p>
        </w:tc>
        <w:tc>
          <w:tcPr>
            <w:tcW w:w="3402" w:type="dxa"/>
            <w:gridSpan w:val="3"/>
            <w:vAlign w:val="center"/>
          </w:tcPr>
          <w:p w14:paraId="2E27466B">
            <w:pPr>
              <w:spacing w:line="260" w:lineRule="exact"/>
              <w:rPr>
                <w:rFonts w:ascii="仿宋_GB2312" w:hAnsi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strike w:val="0"/>
                <w:spacing w:val="0"/>
                <w:u w:val="none"/>
                <w:lang w:val="en-US" w:eastAsia="zh-CN"/>
              </w:rPr>
              <w:t>看无锡A03</w:t>
            </w:r>
          </w:p>
        </w:tc>
        <w:tc>
          <w:tcPr>
            <w:tcW w:w="993" w:type="dxa"/>
            <w:gridSpan w:val="2"/>
            <w:vAlign w:val="center"/>
          </w:tcPr>
          <w:p w14:paraId="023EE048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发布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日期</w:t>
            </w:r>
          </w:p>
        </w:tc>
        <w:tc>
          <w:tcPr>
            <w:tcW w:w="4100" w:type="dxa"/>
            <w:gridSpan w:val="4"/>
            <w:vAlign w:val="center"/>
          </w:tcPr>
          <w:p w14:paraId="7BDA56E4">
            <w:pPr>
              <w:rPr>
                <w:rFonts w:ascii="仿宋_GB2312" w:hAnsi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Cs w:val="0"/>
                <w:color w:val="000000"/>
                <w:sz w:val="21"/>
                <w:szCs w:val="15"/>
                <w:lang w:val="en-US" w:eastAsia="zh-CN"/>
              </w:rPr>
              <w:t>2025年4月4日</w:t>
            </w:r>
          </w:p>
        </w:tc>
      </w:tr>
      <w:tr w14:paraId="3248D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418" w:type="dxa"/>
            <w:gridSpan w:val="2"/>
            <w:vAlign w:val="center"/>
          </w:tcPr>
          <w:p w14:paraId="72A6B8CF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4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1"/>
              </w:rPr>
              <w:t>新媒体作品</w:t>
            </w:r>
          </w:p>
          <w:p w14:paraId="3F526BDD">
            <w:pPr>
              <w:spacing w:line="320" w:lineRule="exact"/>
              <w:jc w:val="center"/>
              <w:rPr>
                <w:rFonts w:hint="eastAsia" w:ascii="仿宋_GB2312" w:hAnsi="仿宋" w:eastAsia="等线"/>
                <w:color w:val="000000"/>
                <w:szCs w:val="21"/>
                <w:lang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1"/>
                <w:lang w:val="en-US" w:eastAsia="zh-CN"/>
              </w:rPr>
              <w:t>链接</w:t>
            </w:r>
          </w:p>
        </w:tc>
        <w:tc>
          <w:tcPr>
            <w:tcW w:w="5221" w:type="dxa"/>
            <w:gridSpan w:val="6"/>
            <w:vAlign w:val="center"/>
          </w:tcPr>
          <w:p w14:paraId="23C9867E">
            <w:pPr>
              <w:spacing w:line="260" w:lineRule="exact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833" w:type="dxa"/>
            <w:gridSpan w:val="2"/>
            <w:vAlign w:val="center"/>
          </w:tcPr>
          <w:p w14:paraId="38DFAF88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4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1"/>
              </w:rPr>
              <w:t>是否为</w:t>
            </w:r>
          </w:p>
          <w:p w14:paraId="5BE93CE1">
            <w:pPr>
              <w:spacing w:line="320" w:lineRule="exact"/>
              <w:jc w:val="center"/>
              <w:rPr>
                <w:rFonts w:ascii="华文中宋" w:hAnsi="华文中宋" w:eastAsia="华文中宋"/>
                <w:color w:val="FF0000"/>
                <w:sz w:val="24"/>
                <w:szCs w:val="21"/>
              </w:rPr>
            </w:pPr>
            <w:r>
              <w:rPr>
                <w:rFonts w:hint="eastAsia" w:ascii="华文中宋" w:hAnsi="华文中宋" w:eastAsia="华文中宋"/>
                <w:color w:val="000000"/>
                <w:sz w:val="24"/>
                <w:szCs w:val="21"/>
              </w:rPr>
              <w:t>“三好作品”</w:t>
            </w:r>
          </w:p>
        </w:tc>
        <w:tc>
          <w:tcPr>
            <w:tcW w:w="1441" w:type="dxa"/>
            <w:vAlign w:val="center"/>
          </w:tcPr>
          <w:p w14:paraId="6411CE51">
            <w:pPr>
              <w:rPr>
                <w:rFonts w:hint="eastAsia" w:ascii="华文中宋" w:hAnsi="华文中宋" w:eastAsia="华文中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否</w:t>
            </w:r>
          </w:p>
        </w:tc>
      </w:tr>
      <w:tr w14:paraId="3957E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1134" w:type="dxa"/>
            <w:vAlign w:val="center"/>
          </w:tcPr>
          <w:p w14:paraId="66755FCF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作</w:t>
            </w:r>
          </w:p>
          <w:p w14:paraId="28B3F844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品</w:t>
            </w:r>
          </w:p>
          <w:p w14:paraId="45CE2DF0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简</w:t>
            </w:r>
          </w:p>
          <w:p w14:paraId="6502544C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 xml:space="preserve">介  </w:t>
            </w:r>
          </w:p>
        </w:tc>
        <w:tc>
          <w:tcPr>
            <w:tcW w:w="8779" w:type="dxa"/>
            <w:gridSpan w:val="10"/>
            <w:vAlign w:val="center"/>
          </w:tcPr>
          <w:p w14:paraId="5C2B7AE1">
            <w:pPr>
              <w:rPr>
                <w:rFonts w:ascii="仿宋" w:hAnsi="仿宋" w:eastAsia="仿宋"/>
                <w:color w:val="000000"/>
                <w:w w:val="95"/>
                <w:szCs w:val="21"/>
              </w:rPr>
            </w:pPr>
            <w:r>
              <w:rPr>
                <w:rFonts w:ascii="仿宋" w:hAnsi="仿宋" w:eastAsia="仿宋" w:cs="仿宋"/>
                <w:i w:val="0"/>
                <w:strike w:val="0"/>
                <w:color w:val="000000"/>
                <w:sz w:val="21"/>
                <w:u w:val="none"/>
              </w:rPr>
              <w:t>记者在掌握惠山区检察院助力烈士陵园解决30余年产权难题线索后，第一时间前往现场采访，实地拍摄陵园现状，现场记录管理员、检察官以及相关部门工作人员的真实反馈，抓取鲜活细节。采访中重点梳理历史遗留问题成因、检察建议履职过程、关键档案材料查找等核心环节，突出公益守护红色资源亮点。稿件展现检察机关公益诉讼履职时效，彰显对革命先烈的尊重与缅怀，带动全社会形成保护英烈、传承红色基因的良好氛围。</w:t>
            </w:r>
            <w:bookmarkStart w:id="0" w:name="_GoBack"/>
            <w:bookmarkEnd w:id="0"/>
          </w:p>
        </w:tc>
      </w:tr>
      <w:tr w14:paraId="789DE8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exact"/>
        </w:trPr>
        <w:tc>
          <w:tcPr>
            <w:tcW w:w="1134" w:type="dxa"/>
            <w:vMerge w:val="restart"/>
            <w:vAlign w:val="center"/>
          </w:tcPr>
          <w:p w14:paraId="273C0031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传</w:t>
            </w:r>
          </w:p>
          <w:p w14:paraId="73C899C0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播</w:t>
            </w:r>
          </w:p>
          <w:p w14:paraId="67C48ECE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数</w:t>
            </w:r>
          </w:p>
          <w:p w14:paraId="0DCEDE99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据</w:t>
            </w:r>
          </w:p>
        </w:tc>
        <w:tc>
          <w:tcPr>
            <w:tcW w:w="1417" w:type="dxa"/>
            <w:gridSpan w:val="2"/>
            <w:vAlign w:val="center"/>
          </w:tcPr>
          <w:p w14:paraId="0425F7BB">
            <w:pPr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pacing w:val="-10"/>
                <w:sz w:val="24"/>
                <w:szCs w:val="18"/>
                <w:lang w:val="en-US" w:eastAsia="zh-CN"/>
              </w:rPr>
              <w:t>全网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pacing w:val="-10"/>
                <w:sz w:val="24"/>
                <w:szCs w:val="18"/>
              </w:rPr>
              <w:t>传播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pacing w:val="-10"/>
                <w:sz w:val="24"/>
                <w:szCs w:val="18"/>
                <w:lang w:val="en-US" w:eastAsia="zh-CN"/>
              </w:rPr>
              <w:t>量最高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18"/>
              </w:rPr>
              <w:t>平台</w:t>
            </w:r>
          </w:p>
          <w:p w14:paraId="67064F18">
            <w:pPr>
              <w:jc w:val="center"/>
              <w:rPr>
                <w:rFonts w:ascii="仿宋" w:hAnsi="仿宋" w:eastAsia="仿宋" w:cs="仿宋"/>
                <w:color w:val="000000"/>
                <w:sz w:val="24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4"/>
                <w:szCs w:val="18"/>
                <w:lang w:val="en-US" w:eastAsia="zh-CN"/>
              </w:rPr>
              <w:t>发布链接</w:t>
            </w:r>
          </w:p>
        </w:tc>
        <w:tc>
          <w:tcPr>
            <w:tcW w:w="7362" w:type="dxa"/>
            <w:gridSpan w:val="8"/>
            <w:vAlign w:val="center"/>
          </w:tcPr>
          <w:p w14:paraId="70BF5746">
            <w:pPr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13629E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1134" w:type="dxa"/>
            <w:vMerge w:val="continue"/>
            <w:vAlign w:val="center"/>
          </w:tcPr>
          <w:p w14:paraId="700FD357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B3CD181">
            <w:pPr>
              <w:spacing w:line="24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233AD81F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2"/>
                <w:szCs w:val="16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  <w:t>传播量</w:t>
            </w:r>
          </w:p>
        </w:tc>
        <w:tc>
          <w:tcPr>
            <w:tcW w:w="1844" w:type="dxa"/>
            <w:vAlign w:val="center"/>
          </w:tcPr>
          <w:p w14:paraId="1F1AE6AC">
            <w:pPr>
              <w:spacing w:line="240" w:lineRule="exact"/>
              <w:rPr>
                <w:rFonts w:ascii="仿宋" w:hAnsi="仿宋" w:eastAsia="仿宋"/>
                <w:color w:val="000000"/>
                <w:sz w:val="22"/>
                <w:szCs w:val="16"/>
              </w:rPr>
            </w:pPr>
          </w:p>
        </w:tc>
        <w:tc>
          <w:tcPr>
            <w:tcW w:w="912" w:type="dxa"/>
            <w:gridSpan w:val="2"/>
            <w:vAlign w:val="center"/>
          </w:tcPr>
          <w:p w14:paraId="61F6CE9C">
            <w:pPr>
              <w:spacing w:line="240" w:lineRule="exact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  <w:t>该平台</w:t>
            </w:r>
          </w:p>
          <w:p w14:paraId="6A372C37">
            <w:pPr>
              <w:spacing w:line="240" w:lineRule="exact"/>
              <w:jc w:val="center"/>
              <w:rPr>
                <w:rFonts w:ascii="仿宋" w:hAnsi="仿宋" w:eastAsia="仿宋"/>
                <w:color w:val="000000"/>
                <w:sz w:val="22"/>
                <w:szCs w:val="16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</w:rPr>
              <w:t>互动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  <w:t>量</w:t>
            </w:r>
          </w:p>
        </w:tc>
        <w:tc>
          <w:tcPr>
            <w:tcW w:w="2065" w:type="dxa"/>
            <w:gridSpan w:val="3"/>
            <w:vAlign w:val="center"/>
          </w:tcPr>
          <w:p w14:paraId="3C71C9E8">
            <w:pPr>
              <w:spacing w:line="24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7915D1B0">
            <w:pPr>
              <w:spacing w:line="240" w:lineRule="exac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1"/>
                <w:szCs w:val="21"/>
                <w:lang w:val="en-US" w:eastAsia="zh-CN"/>
              </w:rPr>
              <w:t>全网总传播量（万）</w:t>
            </w:r>
          </w:p>
        </w:tc>
        <w:tc>
          <w:tcPr>
            <w:tcW w:w="1441" w:type="dxa"/>
            <w:vAlign w:val="center"/>
          </w:tcPr>
          <w:p w14:paraId="6A93525E">
            <w:pPr>
              <w:spacing w:line="240" w:lineRule="exact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5EB7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exact"/>
        </w:trPr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35C830F5">
            <w:pPr>
              <w:spacing w:line="320" w:lineRule="exact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报</w:t>
            </w:r>
          </w:p>
          <w:p w14:paraId="6DD74BAB">
            <w:pPr>
              <w:spacing w:line="320" w:lineRule="exact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送</w:t>
            </w:r>
          </w:p>
          <w:p w14:paraId="0DD9FA92">
            <w:pPr>
              <w:spacing w:line="320" w:lineRule="exact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单</w:t>
            </w:r>
          </w:p>
          <w:p w14:paraId="18A6510F">
            <w:pPr>
              <w:spacing w:line="320" w:lineRule="exact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位</w:t>
            </w:r>
          </w:p>
          <w:p w14:paraId="29AF64B2">
            <w:pPr>
              <w:spacing w:line="320" w:lineRule="exact"/>
              <w:jc w:val="center"/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意</w:t>
            </w:r>
          </w:p>
          <w:p w14:paraId="0C8A2FBA">
            <w:pPr>
              <w:spacing w:line="320" w:lineRule="exact"/>
              <w:jc w:val="center"/>
              <w:rPr>
                <w:rFonts w:ascii="华文中宋" w:hAnsi="华文中宋" w:eastAsia="华文中宋"/>
                <w:color w:val="000000"/>
                <w:sz w:val="28"/>
                <w:lang w:val="en-US" w:eastAsia="zh-CN"/>
              </w:rPr>
            </w:pPr>
            <w:r>
              <w:rPr>
                <w:rFonts w:hint="eastAsia" w:ascii="华文中宋" w:hAnsi="华文中宋" w:eastAsia="华文中宋"/>
                <w:color w:val="000000"/>
                <w:sz w:val="28"/>
                <w:lang w:val="en-US" w:eastAsia="zh-CN"/>
              </w:rPr>
              <w:t>见</w:t>
            </w:r>
          </w:p>
        </w:tc>
        <w:tc>
          <w:tcPr>
            <w:tcW w:w="8779" w:type="dxa"/>
            <w:gridSpan w:val="10"/>
            <w:tcBorders>
              <w:bottom w:val="single" w:color="auto" w:sz="4" w:space="0"/>
            </w:tcBorders>
            <w:vAlign w:val="center"/>
          </w:tcPr>
          <w:p w14:paraId="64B6170E">
            <w:pPr>
              <w:rPr>
                <w:rFonts w:ascii="仿宋" w:hAnsi="仿宋" w:eastAsia="仿宋"/>
                <w:color w:val="000000"/>
                <w:szCs w:val="21"/>
              </w:rPr>
            </w:pPr>
          </w:p>
          <w:p w14:paraId="5FB0B5F6">
            <w:pPr>
              <w:snapToGrid/>
              <w:spacing w:before="0" w:after="160" w:line="240" w:lineRule="auto"/>
              <w:ind w:left="0" w:right="0"/>
              <w:jc w:val="both"/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strike w:val="0"/>
                <w:color w:val="000000"/>
                <w:sz w:val="21"/>
                <w:u w:val="none"/>
              </w:rPr>
              <w:t>此篇新闻紧扣英烈保护与公益诉讼主题，选题重大，立意高远。以烈士陵园30余年办证难题为切入点，故事性强、细节扎实，叙事清晰完整，现场感足。既体现检察机关履职担当，又彰显红色资源保护的现实意义，法治价值和社会价值兼具。</w:t>
            </w:r>
          </w:p>
          <w:p w14:paraId="02616E1A">
            <w:pPr>
              <w:rPr>
                <w:rFonts w:hint="eastAsia" w:ascii="仿宋" w:hAnsi="仿宋" w:eastAsia="仿宋" w:cs="仿宋"/>
                <w:color w:val="000000"/>
                <w:sz w:val="24"/>
                <w:szCs w:val="18"/>
              </w:rPr>
            </w:pPr>
          </w:p>
          <w:p w14:paraId="7392459C">
            <w:pPr>
              <w:spacing w:line="240" w:lineRule="exact"/>
              <w:rPr>
                <w:rFonts w:ascii="华文中宋" w:hAnsi="华文中宋" w:eastAsia="华文中宋"/>
                <w:color w:val="000000"/>
                <w:spacing w:val="-2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</w:t>
            </w:r>
          </w:p>
          <w:p w14:paraId="64375B40">
            <w:pPr>
              <w:spacing w:line="360" w:lineRule="exact"/>
              <w:rPr>
                <w:rFonts w:ascii="华文中宋" w:hAnsi="华文中宋" w:eastAsia="华文中宋"/>
                <w:color w:val="000000"/>
                <w:sz w:val="28"/>
              </w:rPr>
            </w:pP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 xml:space="preserve">                           </w:t>
            </w: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  <w:lang w:val="en-US" w:eastAsia="zh-CN"/>
              </w:rPr>
              <w:t xml:space="preserve">         </w:t>
            </w:r>
            <w:r>
              <w:rPr>
                <w:rFonts w:hint="eastAsia" w:ascii="华文中宋" w:hAnsi="华文中宋" w:eastAsia="华文中宋"/>
                <w:color w:val="000000"/>
                <w:spacing w:val="-2"/>
                <w:sz w:val="28"/>
              </w:rPr>
              <w:t>签名：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（盖单位公章）</w:t>
            </w:r>
          </w:p>
          <w:p w14:paraId="75E200EC">
            <w:pPr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/>
                <w:color w:val="000000"/>
                <w:sz w:val="28"/>
              </w:rPr>
              <w:t xml:space="preserve">                                 </w:t>
            </w:r>
            <w:r>
              <w:rPr>
                <w:rFonts w:hint="eastAsia" w:ascii="仿宋_GB2312"/>
                <w:color w:val="000000"/>
                <w:sz w:val="28"/>
                <w:lang w:val="en-US" w:eastAsia="zh-CN"/>
              </w:rPr>
              <w:t xml:space="preserve">       </w:t>
            </w:r>
            <w:r>
              <w:rPr>
                <w:rFonts w:ascii="华文中宋" w:hAnsi="华文中宋" w:eastAsia="华文中宋"/>
                <w:color w:val="000000"/>
                <w:sz w:val="28"/>
              </w:rPr>
              <w:t xml:space="preserve">年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月</w:t>
            </w:r>
            <w:r>
              <w:rPr>
                <w:rFonts w:ascii="华文中宋" w:hAnsi="华文中宋" w:eastAsia="华文中宋"/>
                <w:color w:val="000000"/>
                <w:sz w:val="28"/>
              </w:rPr>
              <w:t xml:space="preserve">  </w:t>
            </w:r>
            <w:r>
              <w:rPr>
                <w:rFonts w:hint="eastAsia" w:ascii="华文中宋" w:hAnsi="华文中宋" w:eastAsia="华文中宋"/>
                <w:color w:val="000000"/>
                <w:sz w:val="28"/>
              </w:rPr>
              <w:t>日</w:t>
            </w:r>
          </w:p>
        </w:tc>
      </w:tr>
    </w:tbl>
    <w:p w14:paraId="6CC68FB4">
      <w:pPr>
        <w:widowControl w:val="0"/>
        <w:ind w:firstLine="0" w:firstLineChars="0"/>
        <w:rPr>
          <w:rFonts w:ascii="华文仿宋" w:hAnsi="华文仿宋" w:eastAsia="华文仿宋"/>
          <w:color w:val="000000"/>
          <w:sz w:val="32"/>
          <w:szCs w:val="32"/>
        </w:rPr>
        <w:sectPr>
          <w:headerReference r:id="rId3" w:type="default"/>
          <w:pgSz w:w="11906" w:h="16838"/>
          <w:pgMar w:top="1440" w:right="1247" w:bottom="1440" w:left="1247" w:header="851" w:footer="14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4723618C"/>
    <w:sectPr>
      <w:headerReference r:id="rId4" w:type="default"/>
      <w:pgSz w:w="11906" w:h="16838"/>
      <w:pgMar w:top="1440" w:right="1247" w:bottom="1440" w:left="1247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43085">
    <w:pPr>
      <w:pStyle w:val="2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CF66A">
    <w:pPr>
      <w:pStyle w:val="2"/>
      <w:spacing w:after="0" w:line="320" w:lineRule="exact"/>
      <w:ind w:firstLine="602"/>
      <w:rPr>
        <w:rFonts w:ascii="楷体" w:hAnsi="楷体" w:eastAsia="楷体"/>
        <w:b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66506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iPriority w:val="0"/>
    <w:pPr>
      <w:spacing w:after="120"/>
    </w:pPr>
    <w:rPr>
      <w:sz w:val="16"/>
      <w:szCs w:val="16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505</Words>
  <Characters>514</Characters>
  <TotalTime>2</TotalTime>
  <ScaleCrop>false</ScaleCrop>
  <LinksUpToDate>false</LinksUpToDate>
  <CharactersWithSpaces>604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2026-04-09T14:21:00Z</dcterms:created>
  <dc:creator>ln</dc:creator>
  <cp:lastModifiedBy>李娜</cp:lastModifiedBy>
  <dcterms:modified xsi:type="dcterms:W3CDTF">2026-04-09T06:26:21Z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eyJoZGlkIjoiZjMwNTUzNjA1MGYwMzQ1ZWZkOGM1ODA1YjhiMTgzYmQiLCJ1c2VySWQiOiIxNDM1MDA2NTA1In0=</vt:lpwstr>
  </property>
  <property fmtid="{D5CDD505-2E9C-101B-9397-08002B2CF9AE}" pid="3" name="KSOProductBuildVer">
    <vt:lpwstr>2052-12.1.0.25225</vt:lpwstr>
  </property>
  <property fmtid="{D5CDD505-2E9C-101B-9397-08002B2CF9AE}" pid="4" name="ICV">
    <vt:lpwstr>35626655E0D847CBB393ED1DE08D2EBC_12</vt:lpwstr>
  </property>
</Properties>
</file>